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Szczeg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łowe wymagania edukacyjne z fizyki w klasach czwartych technikum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4TA,4TC,4TF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Efektami treści podstawowych wykaza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musz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uczniowie na ocen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dopuszczaj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i dostateczn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. Opanowanie tre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ci oznaczonych liter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Myriad Pro" w:hAnsi="Myriad Pro" w:cs="Myriad Pro" w:eastAsia="Myriad Pro"/>
          <w:color w:val="FF0000"/>
          <w:spacing w:val="0"/>
          <w:position w:val="0"/>
          <w:sz w:val="20"/>
          <w:shd w:fill="auto" w:val="clear"/>
        </w:rPr>
        <w:t xml:space="preserve">D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wystarcza na ocen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dopuszczaj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Efektami treści rozszerzonych wykaza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musz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uczniowie na ocen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dobr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i bardzo dobr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. Opanowanie tre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ci uzupe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niaj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cych jest podstaw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Myriad Pro" w:hAnsi="Myriad Pro" w:cs="Myriad Pro" w:eastAsia="Myriad Pro"/>
          <w:color w:val="auto"/>
          <w:spacing w:val="0"/>
          <w:position w:val="0"/>
          <w:sz w:val="20"/>
          <w:shd w:fill="auto" w:val="clear"/>
        </w:rPr>
        <w:t xml:space="preserve"> do oceny bardzo dobrej.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1.Ruch harmoniczny i fale mechaniczne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59"/>
        <w:gridCol w:w="1946"/>
        <w:gridCol w:w="2783"/>
        <w:gridCol w:w="3022"/>
        <w:gridCol w:w="2670"/>
      </w:tblGrid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Temat lekcji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b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podstawowych Uczeń potrafi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rozszerzonych  Uczeń potrafi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uzupełniających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Uczeń potrafi</w:t>
            </w:r>
          </w:p>
        </w:tc>
      </w:tr>
      <w:tr>
        <w:trPr>
          <w:trHeight w:val="1305" w:hRule="auto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Sprężystość jako makroskopowy efekt mikroskopowych oddziaływań elektromagnetycznych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różnicę między odkształceniami sprężystymi i niesprężystymi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wymienić stany skupienia, w których nie występuje sprężystość postaci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na przykładzie rozciąganej sprężyny wyjaśnić prostą proporcjonalność x ~ Fs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przyczynę występowania sprężystości postaci ciał stałych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2-5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Ruch drgający harmoniczny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– matematyczny opis ruchu harmonicznego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– okres drgań w ruchu harmonicznym – energia w ruchu harmonicznym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wymienić przykłady ruchu drgającego w przyrodzie,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wymienić i objaśnić pojęcia służące do opisu ruchu drgającego,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• podać cechy ruchu harmonicznego,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zapisać i objaśnić związek siły, pod wpływem której odbywa się ruch harmoniczny, z wychyleniem ciała z położenia równowagi,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sens fizyczny współczynnika sprężystości dla sprężyny, • sporządzić i omówić wykresy: x(t), ux(t), ax(t),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omówić zmiany energii potencjalnej sprężystości i energii kinetycznej ciała wykonującego ruch harmoniczny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warunki, w których ruch drgający jest ruchem harmonicznym,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obliczyć współrzędne położenia, prędkości, przyspieszenia i siły w ruchu harmonicznym, rozkładając ruch punktu materialnego po okręgu na dwie składowe,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pojęcie fazy drgań,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i objaśnić wzór na okres drgań harmonicznych,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wzory na energię potencjalną sprężystości, energię kinetyczną i całkowitą ciała drgającego,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sporządzić wykresy zależności: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E p(t), Ek(t), Ec(t), Ep(x) i Ek(x).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uzasadnić, że ruch drgający harmoniczny jest ruchem niejednostajnie zmiennym,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pojęcie fazy początkowej, zapisać związki x(t), ux(t), ax(t) i Fx(t) z użyciem tego pojęcia,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wyprowadzić wzór na okres drgań w ruchu harmonicznym, • wyprowadzić wzory na energię potencjalną sprężystości i energię kinetyczną ciała drgającego,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udowodnić, że całkowita energia mechaniczna ciała wykonującego ruch harmoniczny jest stała,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rozwiązywać zadania z wykorzystaniem matematycznego opisu ruchu drgającego.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6-7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Wahadło matematyczne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zapisać i objaśnić wzór na okres drgań wahadła matematycznego,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definicję wahadła matematycznego,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• opisać sposób wykorzystania wahadła matematycznego do wyznaczania przyspieszenia ziemskiego.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wyprowadzić wzór na okres wahadła matematycznego,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wykazać, że dla małych kątów wychylenia ruch wahadła matematycznego jest ruchem harmonicznym.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Drgania wymuszone i rezonansowe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wyjaśnić, na czym polega zjawisko rezonansu mechanicznego,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zademonstrować zjawisko rezonansu mechanicznego.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zapisać wzorem i objaśnić pojęcie częstotliwości drgań własnych,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powstawanie drgań wymuszonych.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Pojęcie fali.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Fale podłużne i poprzeczne. Wielkości charakteryzujące fale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wyjaśnić, na czym polega rozchodzenie się fali mechanicznej,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różnicę między falą poprzeczną i podłużną,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przykłady ośrodków, w których rozchodzą się fale poprzeczne oraz ośrodków, w których rozchodzą się fale podłużne,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wymienić i objaśnić wielkości charakteryzujące fale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uzasadnić fakt, że fala podłużna może się rozchodzić w każdym ośrodku, a fala poprzeczna tylko w ciałach stałych i na powierzchni cieczy,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definicję fali harmonicznej, • stosować w obliczeniach związek między długością fali, częstotliwością, okresem i szybkością rozchodzenia się fali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10-11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Funkcja falowa fali płaskiej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uzasadnić (posługując się funkcją falową) fakt, że wychylenie cząstki ośrodka biorącej udział w ruchu falowym zależy od jej położenia (x) i od czasu (t).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wzór na wychylenie cząstki biorącej udział w ruchu falowym (funkcję falową) i objaśnić 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wyjaśnić, co nazywamy fazą fali,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wykazać, że energia transportowana przez falę jest wprost proporcjonalna do kwadratu amplitudy tej fali.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zbadać zależność y(x) wychylenia cząstki od jej odległości od źródła w ustalonej chwili,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zbadać zależność y(t) wychylenia od czasu dla wybranej cząstki biorącej udział w ruchu falowym,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stosować funkcję falową do obliczania długości fali.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12-13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Interferencja fal o jednakowych amplitudach i częstotliwościach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zasadę superpozycji fal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pojęcie przesunięcia fazowego,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przedstawić na wykresach wynik interferencji fal przesuniętych w fazie o 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φ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 = 0°, 0° &lt; 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φ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&lt; 180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0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, φ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=180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warunek, przy którym w wyniku interferencji dwóch fal powstaje fala stojąca,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falę stojącą (strzałki, węzły).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analizować i wyjaśniać wynik interferencji fal o częstotliwościach 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ν1 i ν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2 = 2 ν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1 o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raz ν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1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 i ν 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2 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= 3 ν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1,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wyjaśnić pojęcia częstotliwości podstawowej i wyższych harmonicznych,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zinterpretować graficznie amplitudę fali w funkcji falowej opisującej falę stojącą,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obliczyć odległość między sąsiednimi węzłami lub strzałkami fali stojącej,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fale stojące w strunach.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dokonać matematycznie superpozycji dwóch fal przesuniętych w fazie o  </w:t>
            </w:r>
            <w:r>
              <w:rPr>
                <w:rFonts w:ascii="Times New Roman Greek" w:hAnsi="Times New Roman Greek" w:cs="Times New Roman Greek" w:eastAsia="Times New Roman Greek"/>
                <w:color w:val="auto"/>
                <w:spacing w:val="0"/>
                <w:position w:val="0"/>
                <w:sz w:val="18"/>
                <w:shd w:fill="auto" w:val="clear"/>
              </w:rPr>
              <w:t xml:space="preserve">φ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0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  i zinterpretować otrzymaną funkcję falową,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dokonać matematycznie superpozycji dwóch fal, w wyniku której powstaje fala stojąca i zinterpretować otrzymaną funkcję falową,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rozwiązywać zadania dotyczące fal stojących.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Zasada Huygensa. Zjawisko dyfrakcji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treść zasady Huygensa,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zjawisko dyfrakcji.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warunek, przy którym następuje silne ugięcie fali oraz warunek, przy którym zjawisko ugięcia można pominąć.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Interferencja fal harmonicznych wysyłanych przez identyczne źródła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zdefiniować źródła spójne (źródła fal spójnych)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warunki wzmocnienia fali i jej wygaszenia w przypadku interferencji fal wysyłanych przez identyczne źródła.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na podstawie funkcji falowej fali powstałej wskutek interferencji dwóch fal wysyłanych przez identyczne źródła uzasadnić fakt, że wynik interferencji w danym punkcie nie zmienia się z czasem.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dokonać matematycznie interferencji fal harmonicznych wysyłanych przez identyczne źródła i wyprowadzić wzory opisujące warunek wzmocnienia fali i wygaszenia fali,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rozwiązywać zadania z wykorzystaniem warunków wzmocnienia i wygaszenia fal.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16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Fale akustyczne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cechy fal akustycznych,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podać przykłady szybkości rozchodzenia się fal akustycznych (powietrze, woda, żelazo)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różnicę między tonami, dźwiękami i szumami.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zakres natężenia fali akustycznej rejestrowanej przez ludzki mózg.</w:t>
            </w:r>
          </w:p>
        </w:tc>
      </w:tr>
      <w:tr>
        <w:trPr>
          <w:trHeight w:val="0" w:hRule="atLeast"/>
          <w:jc w:val="left"/>
        </w:trPr>
        <w:tc>
          <w:tcPr>
            <w:tcW w:w="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17</w:t>
            </w:r>
          </w:p>
        </w:tc>
        <w:tc>
          <w:tcPr>
            <w:tcW w:w="194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Zjawisko Dopplera</w:t>
            </w:r>
          </w:p>
        </w:tc>
        <w:tc>
          <w:tcPr>
            <w:tcW w:w="278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zjawisko Dopplera w przypadku poruszającego się źródła i nieruchomego obserwatora.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opisać zjawisko Dopplera w dowolnym przypadku względnego ruchu źródła dźwięku i obserwatora,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wyprowadzić wzór na częstotliwość odbieranego dźwięku w przypadku poruszającego się źródła i nieruchomego obserwatora.</w:t>
            </w:r>
          </w:p>
        </w:tc>
        <w:tc>
          <w:tcPr>
            <w:tcW w:w="26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zinterpretować wzór ogólny (dla wszystkich przypadków) na częstotliwość odbieranego dźwięku w przypadku względnego ruchu źródła i obserwatora,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  <w:t xml:space="preserve">• rozwiązywać zadania dotyczące zjawiska Dopplera.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" w:hAnsi="Myriad Pro" w:cs="Myriad Pro" w:eastAsia="Myriad Pro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Myriad Pro" w:hAnsi="Myriad Pro" w:cs="Myriad Pro" w:eastAsia="Myriad Pro"/>
          <w:b/>
          <w:color w:val="000000"/>
          <w:spacing w:val="0"/>
          <w:position w:val="0"/>
          <w:sz w:val="23"/>
          <w:shd w:fill="auto" w:val="clear"/>
        </w:rPr>
        <w:t xml:space="preserve">2. Pole grawitacyjne</w:t>
      </w:r>
    </w:p>
    <w:p>
      <w:pPr>
        <w:spacing w:before="0" w:after="0" w:line="240"/>
        <w:ind w:right="0" w:left="0" w:firstLine="0"/>
        <w:jc w:val="left"/>
        <w:rPr>
          <w:rFonts w:ascii="Myriad Pro" w:hAnsi="Myriad Pro" w:cs="Myriad Pro" w:eastAsia="Myriad Pro"/>
          <w:b/>
          <w:color w:val="000000"/>
          <w:spacing w:val="0"/>
          <w:position w:val="0"/>
          <w:sz w:val="23"/>
          <w:shd w:fill="auto" w:val="clear"/>
        </w:rPr>
      </w:pPr>
    </w:p>
    <w:tbl>
      <w:tblPr/>
      <w:tblGrid>
        <w:gridCol w:w="561"/>
        <w:gridCol w:w="1842"/>
        <w:gridCol w:w="2817"/>
        <w:gridCol w:w="3060"/>
        <w:gridCol w:w="2700"/>
      </w:tblGrid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Temat lekcji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podstawowych Uczeń potrafi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rozszerzonych  Uczeń potrafi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uzupełniających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Uczeń potrafi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O odkryciach Kopernika Keplera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-przedstawić założenia teorii heliocentrycznej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-sformułować i objaśnić treść praw Keplera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-opisać ruchy planet Układu Słonecznego.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-zastosować trzecie prawo Keplera do planet Układu Słonecznego i każdego układu satelitów krążących wokół tego samego ciała 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-przygotować prezentację na temat roli odkryć Kopernika i Keplera dla rozwoju fizyki i astronomii.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Prawo powszechnej grawitacji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-sformułować i objaśnić prawo powszechnej grawitacji,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-podać przykłady zjawisk, do opisu których stosuje się prawo grawitacji,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-na podstawie prawa grawitacji wykazać, że w pobliżu Ziemi na każde ciało o masie 1 kg działa siła grawitacji o wartości około 10 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-podać sens fizyczny stałej grawitacji,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-wyprowadzić wzór na wartość siły grawitacji na planecie o danym promieniu i gęstości.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-opisać oddziaływanie grawitacyjne wewnątrz Ziemi,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-omówić różnicę między ciężarem ciała a siłą grawitacji,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-przedstawić rozumowanie prowadzące od III prawa Keplera do prawa grawitacji Newtona,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-przygotować prezentację na temat roli Newtona w rozwoju nauki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Pierwsza prędkość kosmiczna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-zdefiniować pierwszą prędkość kosmiczną i podać jej wartość dla Ziemi.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-uzasadnić, że satelita tylko wtedy może krążyć wokół Ziemi po orbicie w kształcie okręgu, gdy siła grawitacji stanowi siłę dośrodkową.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-wyprowadzić wzór na wartość pierwszej prędkości kosmicznej.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Oddziaływania grawitacyjne w Układzie Słonecznym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-wie, że dla wszystkich planet Układu Słonecznego siła grawitacji słonecznej jest siłą dośrodkową.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-obliczać (szacować) wartości sił grawitacji, którymi oddziałują wzajemnie ciała niebieskie,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-porównywać okresy obiegu planet, znając ich średnie odległości od Słońca,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-porównywać wartości prędkości ruchu obiegowego planet Układu Słonecznego.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-wyjaśnić, w jaki sposób badania ruchu ciał niebieskich i odchyleń tego ruchu od wcześniej przewidywanego, mogą doprowadzić do odkrycia nieznanych ciał niebieskich.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Natężenie pola grawitacyjnego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 pojęcie pola grawitacyjnego i linii pola,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-przedstawić graficznie pole grawitacyjne,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-poprawnie wypowiedzieć definicję natężenia pola grawitacyjnego,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-odpowiedzieć na pytanie: Od czego zależy wartość natężenia centralnego pola grawitacyjnego w danym punkcie?,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-wyjaśnić, dlaczego pole grawitacyjne w pobliżu Ziemi uważamy za jednorodne.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-obliczać wartość natężenia pola grawitacyjnego,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-sporządzić wykres zależności </w:t>
            </w:r>
            <w:r>
              <w:rPr>
                <w:rFonts w:ascii="Arial Greek" w:hAnsi="Arial Greek" w:cs="Arial Greek" w:eastAsia="Arial Greek"/>
                <w:color w:val="000000"/>
                <w:spacing w:val="0"/>
                <w:position w:val="0"/>
                <w:sz w:val="18"/>
                <w:shd w:fill="auto" w:val="clear"/>
              </w:rPr>
              <w:t xml:space="preserve">γ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) dla 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 </w:t>
            </w: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18"/>
                <w:shd w:fill="auto" w:val="clear"/>
              </w:rPr>
              <w:t xml:space="preserve">≥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-wyprowadzić wzór na wartość natężenia pola grawitacyjnego wewnątrz jednorodnej kuli o danej gęstości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-sporządzić wykres zależności </w:t>
            </w:r>
            <w:r>
              <w:rPr>
                <w:rFonts w:ascii="Arial Greek" w:hAnsi="Arial Greek" w:cs="Arial Greek" w:eastAsia="Arial Greek"/>
                <w:color w:val="000000"/>
                <w:spacing w:val="0"/>
                <w:position w:val="0"/>
                <w:sz w:val="18"/>
                <w:shd w:fill="auto" w:val="clear"/>
              </w:rPr>
              <w:t xml:space="preserve">γ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) dla 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 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&lt; 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-rozwiązywać problemy, stosując ilościowy opis pola grawitacyjnego,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-przygotować wypowiedź na temat „natężenie pola grawitacyjnego a przyspieszenie grawitacyjne”.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Praca w polu grawitacyjnym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-wykazać, że jednorodne pole grawitacyjne jest polem zachowawczym.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-podać i objaśnić wyrażenie na pracę siły grawitacji w centralnym polu grawitacyjnym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-objaśnić wzór na pracę siły pola grawitacyjnego.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-przeprowadzić rozumowanie wykazujące, że dowolne (statyczne) pole grawitacyjne jest polem zachowawczym.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Energia potencjalna ciała w polu grawitacyjnym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-odpowiedzieć na pytania: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Od czego zależy grawitacyjna energia potencjalna ciała w polu centralnym?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Jak zmienia się grawitacyjna energia potencjalna ciała podczas zwiększania jego odległości od Ziemi?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-zapisać wzór na zmianę grawitacyjnej energii potencjalnej ciała przy zmianie jego położenia w centralnym polu grawitacyjnym,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 poprawnie wypowiedzieć definicję grawitacyjnej energii potencjalnej.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-wykazać, że zmiana energii potencjalnej grawitacyjnej jest równa pracy wykonanej przez siłę grawitacyjną wziętej ze znakiem „minus”,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-poprawnie sporządzić i zinterpretować wykres zależności 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p(</w:t>
            </w:r>
            <w:r>
              <w:rPr>
                <w:rFonts w:ascii="Myriad Pro" w:hAnsi="Myriad Pro" w:cs="Myriad Pro" w:eastAsia="Myriad Pro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-wyjaśnić, dlaczego w polach niezachowawczych nie operujemy pojęciem energii potencjalnej.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Druga prędkość kosmiczna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-objaśnić wzór  na wartość drugiej prędkości kosmicznej,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-obliczyć wartość drugiej prędkości kosmicznej dla Ziemi.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-wyprowadzić wzór na wartość drugiej prędkości kosmicznej,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 opisać ruch ciała w polu grawitacyjnym w zależności od wartości nadanej mu prędkości.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-przygotować prezentację na temat ruchu satelitów w polu grawitacyjnym w zależności od wartości nadanej im prędkości.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Stany przeciążenia. Stany nieważkości i niedociążenia 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-podać przykłady występowania stanu przeciążenia,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 niedociążenia i nieważkości. </w:t>
            </w:r>
            <w:r>
              <w:rPr>
                <w:rFonts w:ascii="Myriad Pro" w:hAnsi="Myriad Pro" w:cs="Myriad Pro" w:eastAsia="Myriad Pro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-zdefiniować stan przeciążenia, niedociążenia i nieważkości,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-opisać (w układzie inercjalnym i nieinercjalnym) zjawiska występujące w rakiecie startującej z Ziemi i poruszającej się z przyspieszeniem zwróconym pionowo w górę.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-wyjaśnić, dlaczego stan nieważkości może występować tylko w układach nieinercjalnych,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-wyjaśnić, na czym polega zasada równoważności,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-przygotować prezentację na temat wpływu stanów przeciążenia, niedociążenia i nieważkości na organizm człowieka.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Pole elektrostatyczne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61"/>
        <w:gridCol w:w="1842"/>
        <w:gridCol w:w="2817"/>
        <w:gridCol w:w="3060"/>
        <w:gridCol w:w="2700"/>
      </w:tblGrid>
      <w:tr>
        <w:trPr>
          <w:trHeight w:val="921" w:hRule="auto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Temat lekcji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podstawowych Uczeń potrafi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rozszerzonych  Uczeń potrafi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uzupełniających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Uczeń potrafi</w:t>
            </w:r>
          </w:p>
        </w:tc>
      </w:tr>
      <w:tr>
        <w:trPr>
          <w:trHeight w:val="1800" w:hRule="auto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Wzajemne oddziaływanie ciał naelektryzowanych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przedstawi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enia teorii mikroskopowej budowy przewodnika i izolatora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Wie,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 ka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dy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adunek jest wielokrotno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adunku elementarnego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warto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elektrostatycznych z prawa Coulomba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zasad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zachowania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zademonstrowa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elektryzowanie przez dotyk i indukcj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Natężenie pola elektrostatycznego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wzór na nat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enie pola elektrostatycznego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nat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enie pola z zasady superpozycji pól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i zademonstrowa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pola centralne i jednorodne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Naelektryzowany przewodnik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rozmieszczenie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adunku na przewodniku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Wie co to jest 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sto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adunku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Przewodnik  w polu elektrostatycznym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wyt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umaczy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elektryzowanie przez indukcj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przewodnika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Analogie miedzy wielkościami opisującymi pola grawitacyjne i elektrostatyczne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wielko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 fizyczne dla pól centralnych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potencja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pola i prac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wykonan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 przemieszczaniu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adunku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 porówna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pola elektrostatyczne i grawitacyjne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Pojemność elektryczna ciała przewodzącego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wyt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umaczy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co wskazuje elektroskop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zdefiniowa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pojemno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przewodnika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pojemno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kuli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Kondensator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wzór na pojemno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kondensatora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askiego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czenie kondensatorów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pojemno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dla ró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nych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cze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kondensatorów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rozró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ró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ne typy kondensatorów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Energia naładowanego kondensatora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wzór na energi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potencjaln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kondensatora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potrzebn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na zwi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kszenie odleg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 mi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dzy ok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adkami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wyja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wp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yw dielektryka na pojemno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kondensatora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Ruch naładowanej cząstki w polu elektrycznym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zachowanie 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stki na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adowanej w polu jednorodnym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przyspieszenie i czas przelotu elektronu przez kondensator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pos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ugiwa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lamp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oscyloskopow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yriad Pro Light" w:hAnsi="Myriad Pro Light" w:cs="Myriad Pro Light" w:eastAsia="Myriad Pro Light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Prąd stały</w:t>
      </w: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1"/>
        <w:gridCol w:w="1842"/>
        <w:gridCol w:w="2817"/>
        <w:gridCol w:w="3060"/>
        <w:gridCol w:w="2700"/>
      </w:tblGrid>
      <w:tr>
        <w:trPr>
          <w:trHeight w:val="921" w:hRule="auto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Temat lekcji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podstawowych Uczeń potrafi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rozszerzonych  Uczeń potrafi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uzupełniających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Uczeń potrafi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Prąd elektryczny jako przepływ ładunku. Natężenie prądu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zdefiniowa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nat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enie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 i pierwsze prawo Kirchhoffa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pierwsze prawo KIrchhoffa w prostych zadaniach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Badanie zależności natężenia prądu od napięcia dla odcinka obwodu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prawo Ohma w zadaniach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interpretowa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charakterystyki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dowo - napi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ciowe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zaplanowa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wiadczenie z prawa Ohma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czenie szeregowe i równoleg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łe odbiornik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przedstawi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cechy poszczególnych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cze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parametry ró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nych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cze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odbiorników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 dokona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zmiany zakresu amperomierza lub woltomierza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Zależność oporu przewodnika od jego długości i przekroju poprzecznego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opór przewodu znaj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 jego rozmiary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 wyznaczy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opór w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ciwy materia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Praca i moc prądu elektrycznego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i moc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korzystać z powyższych wzor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w podczas rozwiązywania problemów ilo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ciowych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Prosty obwód zamknięty prądu stałego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zdefiniowa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elektromotoryczn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ź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ród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zapisa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prawo Ohma dla ca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ego obwodu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prawo Ohma  dla ca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ego obwodu w zadaniach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Co wskazuje woltomierz dołączony do biegunów źródła siły elektromotorycznej?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dokona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obserwacji zale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 napi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cia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ź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ród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 od oporu zewn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trznego lub napi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cia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ź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ród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 od nat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enia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wykona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wykresy i je zinterpretowa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zmierzy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opór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trzny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ź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ród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Wzrosty i spadki potencjału w obwodzie zamkniętym. Drugie prawo Kirchhoffa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zapisa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drugie prawo Kirchhoffa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drugie prawo Kirchhoffa w prostych zadaniach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Przykłady stosowania drugiego prawa Kirchhoffa</w:t>
            </w:r>
          </w:p>
        </w:tc>
        <w:tc>
          <w:tcPr>
            <w:tcW w:w="28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zapisa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drugie prawo Kirchhoffa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drugie prawo Kirchhoffa w prostych zadaniach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Myriad Pro Light" w:hAnsi="Myriad Pro Light" w:cs="Myriad Pro Light" w:eastAsia="Myriad Pro Light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Myriad Pro Light" w:hAnsi="Myriad Pro Light" w:cs="Myriad Pro Light" w:eastAsia="Myriad Pro Light"/>
          <w:b/>
          <w:color w:val="000000"/>
          <w:spacing w:val="0"/>
          <w:position w:val="0"/>
          <w:sz w:val="24"/>
          <w:shd w:fill="auto" w:val="clear"/>
        </w:rPr>
        <w:t xml:space="preserve">Pole magnetyczne. Elektromagnetyzm</w:t>
      </w: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61"/>
        <w:gridCol w:w="1867"/>
        <w:gridCol w:w="2809"/>
        <w:gridCol w:w="3051"/>
        <w:gridCol w:w="2692"/>
      </w:tblGrid>
      <w:tr>
        <w:trPr>
          <w:trHeight w:val="921" w:hRule="auto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Temat lekcji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podstawowych Uczeń potrafi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rozszerzonych  Uczeń potrafi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treści uzupełniających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Uczeń potrafi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Magnesy trwałe. Pole magnetyczne magnesu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pole magnetyczne liniami pola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Przewodnik  z prądem w polu magnetycznym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elektrodynamiczn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zdefiniowa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wektor indukcji magnetycznej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elektrodynamiczn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zasad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dzia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ania silnika elektrycznego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Zna poj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cia iloczynu wektorowego i pseudowektora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adowana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tka w polu magnetycznym.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Lorentza. Cyklotron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Lorentza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promie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okr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gu toru ruchu 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stki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Zna zasad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dzia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ania cyklotronu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 opisa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ruch 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stki , która wpada pod pewnym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tem do linii pola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Pole magnetyczne przewodników z prądem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pole magnetyczne liniami pola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Stosuje regu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prawej 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oni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 obliczy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indukcj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wokó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przewodu i wewn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trz zwojnicy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wzajemne oddzia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ywanie przewodników z 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dem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Właściwości magnetyczne substancji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dzieli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materia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y na diamagnetyki, paramagnetyki i ferromagnetyki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Zna poj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cie wzgl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dnej przenikalno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 magnetycznej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Zjawisko indukcji elektromagnetycznej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metody wytwarzania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 indukcyjnego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strumie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ń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wektora indukcji magnetycznej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Stosuje poj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cie strumienia do opisu zjawiska indukcji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Siła elektromotoryczna indukcji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prawo indukcji  Faradaya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prawo indukcji Faradaya w prostych zadaniach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korzystać z prawa indukcji  podczas rozwiązywania problemów ilo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Myriad Pro" w:hAnsi="Myriad Pro" w:cs="Myriad Pro" w:eastAsia="Myriad Pro"/>
                <w:color w:val="auto"/>
                <w:spacing w:val="0"/>
                <w:position w:val="0"/>
                <w:sz w:val="20"/>
                <w:shd w:fill="auto" w:val="clear"/>
              </w:rPr>
              <w:t xml:space="preserve">ciowych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Reguła Lenza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regu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Lenza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regu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Lenza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Zjawisko samoindukcji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zjawisko samoindukcji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Zna wzór na SEM samoindukcji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wzór na SEM samoindukcji w zadaniach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Prąd zmienny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ciwo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ci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 przemiennego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dzia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anie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dnicy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obliczy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nat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ęż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enie skuteczne pr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du zmiennego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obliczy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opór bierny zwojnicy i kondensatora</w:t>
            </w:r>
          </w:p>
        </w:tc>
      </w:tr>
      <w:tr>
        <w:trPr>
          <w:trHeight w:val="0" w:hRule="atLeast"/>
          <w:jc w:val="left"/>
        </w:trPr>
        <w:tc>
          <w:tcPr>
            <w:tcW w:w="5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" w:hAnsi="Myriad Pro" w:cs="Myriad Pro" w:eastAsia="Myriad Pro"/>
                <w:color w:val="000000"/>
                <w:spacing w:val="0"/>
                <w:position w:val="0"/>
                <w:sz w:val="18"/>
                <w:shd w:fill="auto" w:val="clear"/>
              </w:rPr>
              <w:t xml:space="preserve">Transformator</w:t>
            </w:r>
          </w:p>
        </w:tc>
        <w:tc>
          <w:tcPr>
            <w:tcW w:w="28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dzia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anie transformatora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</w:t>
            </w:r>
          </w:p>
        </w:tc>
        <w:tc>
          <w:tcPr>
            <w:tcW w:w="30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Potrafi stosowa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wzór na przek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adni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000000"/>
                <w:spacing w:val="0"/>
                <w:position w:val="0"/>
                <w:sz w:val="18"/>
                <w:shd w:fill="auto" w:val="clear"/>
              </w:rPr>
              <w:t xml:space="preserve"> transformatora w zadaniach</w:t>
            </w:r>
          </w:p>
        </w:tc>
        <w:tc>
          <w:tcPr>
            <w:tcW w:w="2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Potrafi opisa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ć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 przesy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anie 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du pod wysokim napi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</w:t>
            </w:r>
            <w:r>
              <w:rPr>
                <w:rFonts w:ascii="Myriad Pro Light" w:hAnsi="Myriad Pro Light" w:cs="Myriad Pro Light" w:eastAsia="Myriad Pro Light"/>
                <w:color w:val="auto"/>
                <w:spacing w:val="0"/>
                <w:position w:val="0"/>
                <w:sz w:val="18"/>
                <w:shd w:fill="auto" w:val="clear"/>
              </w:rPr>
              <w:t xml:space="preserve">ciem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 Pro Light" w:hAnsi="Myriad Pro Light" w:cs="Myriad Pro Light" w:eastAsia="Myriad Pro Ligh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